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487F8E" w:rsidRDefault="00487F8E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0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850"/>
        <w:gridCol w:w="988"/>
        <w:gridCol w:w="3657"/>
        <w:gridCol w:w="1158"/>
        <w:gridCol w:w="1170"/>
        <w:gridCol w:w="1357"/>
      </w:tblGrid>
      <w:tr w:rsidR="00487F8E" w:rsidRPr="00977385" w:rsidTr="00515BAB">
        <w:trPr>
          <w:cantSplit/>
          <w:trHeight w:val="434"/>
          <w:jc w:val="center"/>
        </w:trPr>
        <w:tc>
          <w:tcPr>
            <w:tcW w:w="874" w:type="dxa"/>
            <w:shd w:val="clear" w:color="auto" w:fill="BFBFBF"/>
          </w:tcPr>
          <w:p w:rsidR="00487F8E" w:rsidRPr="00977385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38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850" w:type="dxa"/>
            <w:shd w:val="clear" w:color="auto" w:fill="BFBFBF"/>
          </w:tcPr>
          <w:p w:rsidR="00487F8E" w:rsidRPr="00977385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385">
              <w:rPr>
                <w:rFonts w:ascii="Arial" w:hAnsi="Arial" w:cs="Arial"/>
                <w:b/>
                <w:sz w:val="22"/>
                <w:szCs w:val="22"/>
              </w:rPr>
              <w:t>QTDE</w:t>
            </w:r>
          </w:p>
          <w:p w:rsidR="00487F8E" w:rsidRPr="00977385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BFBFBF"/>
          </w:tcPr>
          <w:p w:rsidR="00487F8E" w:rsidRPr="00977385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385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3657" w:type="dxa"/>
            <w:shd w:val="clear" w:color="auto" w:fill="BFBFBF"/>
          </w:tcPr>
          <w:p w:rsidR="00487F8E" w:rsidRPr="00977385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385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158" w:type="dxa"/>
            <w:shd w:val="clear" w:color="auto" w:fill="BFBFBF"/>
          </w:tcPr>
          <w:p w:rsidR="00487F8E" w:rsidRPr="00977385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385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170" w:type="dxa"/>
            <w:shd w:val="clear" w:color="auto" w:fill="BFBFBF"/>
          </w:tcPr>
          <w:p w:rsidR="00487F8E" w:rsidRPr="00977385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385">
              <w:rPr>
                <w:rFonts w:ascii="Arial" w:hAnsi="Arial" w:cs="Arial"/>
                <w:b/>
                <w:sz w:val="22"/>
                <w:szCs w:val="22"/>
              </w:rPr>
              <w:t>PREÇO UNIT.</w:t>
            </w:r>
          </w:p>
        </w:tc>
        <w:tc>
          <w:tcPr>
            <w:tcW w:w="1357" w:type="dxa"/>
            <w:shd w:val="clear" w:color="auto" w:fill="BFBFBF"/>
          </w:tcPr>
          <w:p w:rsidR="00487F8E" w:rsidRPr="00977385" w:rsidRDefault="00487F8E" w:rsidP="00515BAB">
            <w:pPr>
              <w:pStyle w:val="Normal1"/>
              <w:ind w:hanging="6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385">
              <w:rPr>
                <w:rFonts w:ascii="Arial" w:hAnsi="Arial" w:cs="Arial"/>
                <w:b/>
                <w:sz w:val="22"/>
                <w:szCs w:val="22"/>
              </w:rPr>
              <w:t xml:space="preserve">        PREÇO</w:t>
            </w:r>
          </w:p>
          <w:p w:rsidR="00487F8E" w:rsidRPr="00977385" w:rsidRDefault="00487F8E" w:rsidP="00515BAB">
            <w:pPr>
              <w:pStyle w:val="Normal1"/>
              <w:ind w:hanging="6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7385">
              <w:rPr>
                <w:rFonts w:ascii="Arial" w:hAnsi="Arial" w:cs="Arial"/>
                <w:b/>
                <w:sz w:val="22"/>
                <w:szCs w:val="22"/>
              </w:rPr>
              <w:t xml:space="preserve">       TOTAL</w:t>
            </w:r>
          </w:p>
        </w:tc>
      </w:tr>
      <w:tr w:rsidR="00487F8E" w:rsidRPr="00977385" w:rsidTr="00515BAB">
        <w:trPr>
          <w:cantSplit/>
          <w:trHeight w:val="421"/>
          <w:jc w:val="center"/>
        </w:trPr>
        <w:tc>
          <w:tcPr>
            <w:tcW w:w="874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F8E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487F8E" w:rsidRPr="00487F8E" w:rsidRDefault="00487F8E" w:rsidP="00515B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F8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88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>FARDO</w:t>
            </w:r>
          </w:p>
        </w:tc>
        <w:tc>
          <w:tcPr>
            <w:tcW w:w="3657" w:type="dxa"/>
            <w:vAlign w:val="center"/>
          </w:tcPr>
          <w:p w:rsidR="00487F8E" w:rsidRPr="00487F8E" w:rsidRDefault="00487F8E" w:rsidP="00515BAB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>ÁGUA MINERAL NATURAL SEM GÁS, ACONDICIONADA EM EMBALAGENS DE 500 ML EM PACOTES COM 12 UNIDADES CADA (12X1), DENTRO DOS PADRÕES ESTABELECIDOS PELO DEPARTAMENTO NACIONAL DE PRODUÇÃO MINERAL – DNPM E AGÊNCIA NACIONAL DE VIGILÂNCIA SANITÁRIA – ANVISA, COM MARCA, PROCEDÊNCIA E VALIDADE IMPRESSAS NO RÓTULO DO PRODUTO.</w:t>
            </w:r>
          </w:p>
        </w:tc>
        <w:tc>
          <w:tcPr>
            <w:tcW w:w="1158" w:type="dxa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7F8E" w:rsidRPr="00977385" w:rsidTr="00515BAB">
        <w:trPr>
          <w:cantSplit/>
          <w:trHeight w:val="421"/>
          <w:jc w:val="center"/>
        </w:trPr>
        <w:tc>
          <w:tcPr>
            <w:tcW w:w="874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F8E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850" w:type="dxa"/>
            <w:vAlign w:val="center"/>
          </w:tcPr>
          <w:p w:rsidR="00487F8E" w:rsidRPr="00487F8E" w:rsidRDefault="00487F8E" w:rsidP="00515B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F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  <w:p w:rsidR="00487F8E" w:rsidRPr="00487F8E" w:rsidRDefault="00487F8E" w:rsidP="00515B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>FARDO</w:t>
            </w:r>
          </w:p>
        </w:tc>
        <w:tc>
          <w:tcPr>
            <w:tcW w:w="3657" w:type="dxa"/>
            <w:vAlign w:val="center"/>
          </w:tcPr>
          <w:p w:rsidR="00487F8E" w:rsidRPr="00487F8E" w:rsidRDefault="00487F8E" w:rsidP="00515BAB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>ÁGUA MINERAL NATURAL COM GÁS, ACONDICIONADA EM EMBALAGENS DE 500 ML EM PACOTES COM 12 UNIDADES CADA (12X1), DENTRO DOS PADRÕES ESTABELECIDOS PELO DEPARTAMENTO NACIONAL DE PRODUÇÃO MINERAL – DNPM E AGÊNCIA NACIONAL DE VIGILÂNCIA SANITÁRIA – ANVISA, COM MARCA, PROCEDÊNCIA E VALIDADE IMPRESSAS NO RÓTULO DO PRODUTO.</w:t>
            </w:r>
          </w:p>
        </w:tc>
        <w:tc>
          <w:tcPr>
            <w:tcW w:w="1158" w:type="dxa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7F8E" w:rsidRPr="00977385" w:rsidTr="00515BAB">
        <w:trPr>
          <w:cantSplit/>
          <w:trHeight w:val="421"/>
          <w:jc w:val="center"/>
        </w:trPr>
        <w:tc>
          <w:tcPr>
            <w:tcW w:w="874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F8E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487F8E" w:rsidRPr="00487F8E" w:rsidRDefault="00487F8E" w:rsidP="00515BA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F8E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88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>FARDO</w:t>
            </w:r>
          </w:p>
        </w:tc>
        <w:tc>
          <w:tcPr>
            <w:tcW w:w="3657" w:type="dxa"/>
            <w:vAlign w:val="center"/>
          </w:tcPr>
          <w:p w:rsidR="00487F8E" w:rsidRPr="00487F8E" w:rsidRDefault="00487F8E" w:rsidP="00515BAB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 xml:space="preserve">ÁGUA MINERAL NATURAL SEM GÁS, ACONDICIONADA EM EMBALAGENS DE 1,5 LITROS, EM PACOTES COM </w:t>
            </w:r>
            <w:proofErr w:type="gramStart"/>
            <w:r w:rsidRPr="00487F8E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487F8E">
              <w:rPr>
                <w:rFonts w:ascii="Arial" w:hAnsi="Arial" w:cs="Arial"/>
                <w:sz w:val="20"/>
                <w:szCs w:val="20"/>
              </w:rPr>
              <w:t xml:space="preserve"> FRASCOS CADA (6X1), DENTRO DOS PADRÕES ESTABELECIDOS PELO DEPARTAMENTO NACIONAL DE PRODUÇÃO MINERAL – DNPM E AGÊNCIA NACIONAL DE VIGILÂNCIA SANITÁRIA – ANVISA, COM MARCA, PROCEDÊNCIA E VALIDADE IMPRESSAS NO RÓTULO DO PRODUTO.</w:t>
            </w:r>
          </w:p>
        </w:tc>
        <w:tc>
          <w:tcPr>
            <w:tcW w:w="1158" w:type="dxa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7F8E" w:rsidRPr="00977385" w:rsidTr="00515BAB">
        <w:trPr>
          <w:cantSplit/>
          <w:trHeight w:val="421"/>
          <w:jc w:val="center"/>
        </w:trPr>
        <w:tc>
          <w:tcPr>
            <w:tcW w:w="874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F8E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F8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8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>CAIXA</w:t>
            </w:r>
          </w:p>
        </w:tc>
        <w:tc>
          <w:tcPr>
            <w:tcW w:w="3657" w:type="dxa"/>
            <w:vAlign w:val="center"/>
          </w:tcPr>
          <w:p w:rsidR="00487F8E" w:rsidRPr="00487F8E" w:rsidRDefault="00487F8E" w:rsidP="00515BAB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 xml:space="preserve">ÁGUA MINERAL NATURAL SEM GÁS, ACONDICIONADA EM COPOS DE </w:t>
            </w:r>
            <w:proofErr w:type="gramStart"/>
            <w:r w:rsidRPr="00487F8E">
              <w:rPr>
                <w:rFonts w:ascii="Arial" w:hAnsi="Arial" w:cs="Arial"/>
                <w:sz w:val="20"/>
                <w:szCs w:val="20"/>
              </w:rPr>
              <w:t>200ML</w:t>
            </w:r>
            <w:proofErr w:type="gramEnd"/>
            <w:r w:rsidRPr="00487F8E">
              <w:rPr>
                <w:rFonts w:ascii="Arial" w:hAnsi="Arial" w:cs="Arial"/>
                <w:sz w:val="20"/>
                <w:szCs w:val="20"/>
              </w:rPr>
              <w:t>, CAIXA COM 48 UNIDADES, COM TAMPA ALUMINIZADA, EMBALAGEM PRÁTICA PARA CONSUMO IMEDIATO, DENTRO DOS PADRÕES ESTABELECIDOS PELO DEPARTAMENTO NACIONAL DE PRODUÇÃO MINERAL - DNPM E AGÊNCIA NACIONAL DE VIGILÂNCIA SANITÁRIA ANVISA, COM MARCA, PROCEDÊNCIA E VALIDADE IMPRESSAS NA EMBALAGEM DO PRODUTO.</w:t>
            </w:r>
          </w:p>
        </w:tc>
        <w:tc>
          <w:tcPr>
            <w:tcW w:w="1158" w:type="dxa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7F8E" w:rsidRPr="00977385" w:rsidTr="00515BAB">
        <w:trPr>
          <w:cantSplit/>
          <w:trHeight w:val="421"/>
          <w:jc w:val="center"/>
        </w:trPr>
        <w:tc>
          <w:tcPr>
            <w:tcW w:w="874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F8E">
              <w:rPr>
                <w:rFonts w:ascii="Arial" w:hAnsi="Arial" w:cs="Arial"/>
                <w:b/>
                <w:sz w:val="20"/>
                <w:szCs w:val="20"/>
              </w:rPr>
              <w:lastRenderedPageBreak/>
              <w:t>05</w:t>
            </w:r>
          </w:p>
        </w:tc>
        <w:tc>
          <w:tcPr>
            <w:tcW w:w="850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F8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8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>GALÃO</w:t>
            </w:r>
          </w:p>
        </w:tc>
        <w:tc>
          <w:tcPr>
            <w:tcW w:w="3657" w:type="dxa"/>
            <w:vAlign w:val="center"/>
          </w:tcPr>
          <w:p w:rsidR="00487F8E" w:rsidRPr="00487F8E" w:rsidRDefault="00487F8E" w:rsidP="00515BAB">
            <w:pPr>
              <w:pStyle w:val="Normal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F8E">
              <w:rPr>
                <w:rFonts w:ascii="Arial" w:hAnsi="Arial" w:cs="Arial"/>
                <w:sz w:val="20"/>
                <w:szCs w:val="20"/>
              </w:rPr>
              <w:t>ÁGUA MINERAL (GALÃO DE 20 LITROS): ÁGUA MINERAL NATURAL, SEM GÁS, ACONDICIONADA EM GARRAFÃO DE 20 LITROS, RETORNÁVEL, TIPO POLIETILENO/PET OU POLIPROPILENO/PP OU POLICARBONATO, TRANSPARENTE E DEVIDAMENTE LACRADOS. OS GARRAFÕES DEVERÃO POSSUIR RÓTULO PADRÃO APROVADOS PELO DNPM DEPARTAMENTO NACIONAL DE PRODUÇÃO MINERAL, DE MODO QUE IDENTIFIQUE BEM O PRODUTO, A QUALIDADE, PRAZO DE VALIDADE E SUA FONTE DE EXTRAÇÃO. É VEDADO O FORNECIMENTO DE ÁGUA PURIFICADA/ADICIONADA EM SUBSTITUIÇÃO À MINERAL NATURAL. COM DEVOLUÇÃO DE GARRAFÃO.</w:t>
            </w:r>
          </w:p>
        </w:tc>
        <w:tc>
          <w:tcPr>
            <w:tcW w:w="1158" w:type="dxa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7F8E" w:rsidRPr="00977385" w:rsidTr="00515BAB">
        <w:trPr>
          <w:cantSplit/>
          <w:trHeight w:val="224"/>
          <w:jc w:val="center"/>
        </w:trPr>
        <w:tc>
          <w:tcPr>
            <w:tcW w:w="8697" w:type="dxa"/>
            <w:gridSpan w:val="6"/>
          </w:tcPr>
          <w:p w:rsidR="00487F8E" w:rsidRPr="00487F8E" w:rsidRDefault="00487F8E" w:rsidP="00515BAB">
            <w:pPr>
              <w:pStyle w:val="Normal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F8E">
              <w:rPr>
                <w:rFonts w:ascii="Arial" w:hAnsi="Arial" w:cs="Arial"/>
                <w:b/>
                <w:sz w:val="20"/>
                <w:szCs w:val="20"/>
              </w:rPr>
              <w:t>TOTAL GERAL ESTIMADO: R$</w:t>
            </w:r>
          </w:p>
        </w:tc>
        <w:tc>
          <w:tcPr>
            <w:tcW w:w="1357" w:type="dxa"/>
          </w:tcPr>
          <w:p w:rsidR="00487F8E" w:rsidRPr="00487F8E" w:rsidRDefault="00487F8E" w:rsidP="00515BAB">
            <w:pPr>
              <w:pStyle w:val="Normal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Pr="008D3A60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</w:t>
      </w:r>
      <w:bookmarkStart w:id="0" w:name="_GoBack"/>
      <w:bookmarkEnd w:id="0"/>
      <w:r w:rsidRPr="008D3A60">
        <w:t>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B4" w:rsidRDefault="003F50B4" w:rsidP="00460E5B">
      <w:r>
        <w:separator/>
      </w:r>
    </w:p>
  </w:endnote>
  <w:endnote w:type="continuationSeparator" w:id="0">
    <w:p w:rsidR="003F50B4" w:rsidRDefault="003F50B4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B4" w:rsidRDefault="003F50B4" w:rsidP="00460E5B">
      <w:r>
        <w:separator/>
      </w:r>
    </w:p>
  </w:footnote>
  <w:footnote w:type="continuationSeparator" w:id="0">
    <w:p w:rsidR="003F50B4" w:rsidRDefault="003F50B4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76617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B79EE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3F50B4"/>
    <w:rsid w:val="0041164F"/>
    <w:rsid w:val="004147A6"/>
    <w:rsid w:val="0042219D"/>
    <w:rsid w:val="004271A0"/>
    <w:rsid w:val="004323BE"/>
    <w:rsid w:val="00460E5B"/>
    <w:rsid w:val="00471F02"/>
    <w:rsid w:val="00487F8E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5D682F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00DD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0109C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BD52FA"/>
    <w:rsid w:val="00BD7B27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46D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6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18</cp:revision>
  <cp:lastPrinted>2024-10-03T18:50:00Z</cp:lastPrinted>
  <dcterms:created xsi:type="dcterms:W3CDTF">2024-11-25T17:06:00Z</dcterms:created>
  <dcterms:modified xsi:type="dcterms:W3CDTF">2025-08-05T10:52:00Z</dcterms:modified>
</cp:coreProperties>
</file>